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D0AC9" w:rsidRDefault="008D0AC9" w:rsidP="008D0AC9">
      <w:pPr>
        <w:spacing w:after="0" w:line="480" w:lineRule="auto"/>
        <w:rPr>
          <w:rFonts w:ascii="Times New Roman" w:hAnsi="Times New Roman" w:cs="Times New Roman"/>
          <w:sz w:val="24"/>
          <w:szCs w:val="24"/>
        </w:rPr>
      </w:pPr>
      <w:bookmarkStart w:id="0" w:name="_GoBack"/>
      <w:bookmarkEnd w:id="0"/>
    </w:p>
    <w:p w:rsidR="008D0AC9" w:rsidRDefault="008D0AC9" w:rsidP="008D0AC9">
      <w:pPr>
        <w:spacing w:after="0" w:line="480" w:lineRule="auto"/>
        <w:rPr>
          <w:rFonts w:ascii="Times New Roman" w:hAnsi="Times New Roman" w:cs="Times New Roman"/>
          <w:sz w:val="24"/>
          <w:szCs w:val="24"/>
        </w:rPr>
      </w:pPr>
    </w:p>
    <w:p w:rsidR="008D0AC9" w:rsidRDefault="008D0AC9" w:rsidP="008D0AC9">
      <w:pPr>
        <w:spacing w:after="0" w:line="480" w:lineRule="auto"/>
        <w:rPr>
          <w:rFonts w:ascii="Times New Roman" w:hAnsi="Times New Roman" w:cs="Times New Roman"/>
          <w:sz w:val="24"/>
          <w:szCs w:val="24"/>
        </w:rPr>
      </w:pPr>
    </w:p>
    <w:p w:rsidR="008D0AC9" w:rsidRDefault="008D0AC9" w:rsidP="008D0AC9">
      <w:pPr>
        <w:spacing w:after="0" w:line="480" w:lineRule="auto"/>
        <w:rPr>
          <w:rFonts w:ascii="Times New Roman" w:hAnsi="Times New Roman" w:cs="Times New Roman"/>
          <w:sz w:val="24"/>
          <w:szCs w:val="24"/>
        </w:rPr>
      </w:pPr>
    </w:p>
    <w:p w:rsidR="008D0AC9" w:rsidRDefault="008D0AC9" w:rsidP="008D0AC9">
      <w:pPr>
        <w:spacing w:after="0" w:line="480" w:lineRule="auto"/>
        <w:rPr>
          <w:rFonts w:ascii="Times New Roman" w:hAnsi="Times New Roman" w:cs="Times New Roman"/>
          <w:sz w:val="24"/>
          <w:szCs w:val="24"/>
        </w:rPr>
      </w:pPr>
    </w:p>
    <w:p w:rsidR="008D0AC9" w:rsidRDefault="008D0AC9" w:rsidP="008D0AC9">
      <w:pPr>
        <w:spacing w:after="0" w:line="480" w:lineRule="auto"/>
        <w:rPr>
          <w:rFonts w:ascii="Times New Roman" w:hAnsi="Times New Roman" w:cs="Times New Roman"/>
          <w:sz w:val="24"/>
          <w:szCs w:val="24"/>
        </w:rPr>
      </w:pPr>
    </w:p>
    <w:p w:rsidR="008D0AC9" w:rsidRDefault="008D0AC9" w:rsidP="008D0AC9">
      <w:pPr>
        <w:spacing w:after="0" w:line="480" w:lineRule="auto"/>
        <w:rPr>
          <w:rFonts w:ascii="Times New Roman" w:hAnsi="Times New Roman" w:cs="Times New Roman"/>
          <w:sz w:val="24"/>
          <w:szCs w:val="24"/>
        </w:rPr>
      </w:pPr>
    </w:p>
    <w:p w:rsidR="008D0AC9" w:rsidRDefault="008D0AC9" w:rsidP="008D0AC9">
      <w:pPr>
        <w:spacing w:after="0" w:line="480" w:lineRule="auto"/>
        <w:rPr>
          <w:rFonts w:ascii="Times New Roman" w:hAnsi="Times New Roman" w:cs="Times New Roman"/>
          <w:sz w:val="24"/>
          <w:szCs w:val="24"/>
        </w:rPr>
      </w:pPr>
    </w:p>
    <w:p w:rsidR="008D0AC9" w:rsidRDefault="008D0AC9" w:rsidP="008D0AC9">
      <w:pPr>
        <w:spacing w:after="0" w:line="480" w:lineRule="auto"/>
        <w:jc w:val="center"/>
        <w:rPr>
          <w:rFonts w:ascii="Times New Roman" w:hAnsi="Times New Roman" w:cs="Times New Roman"/>
          <w:sz w:val="24"/>
          <w:szCs w:val="24"/>
        </w:rPr>
      </w:pPr>
    </w:p>
    <w:p w:rsidR="008D0AC9" w:rsidRDefault="008D0AC9" w:rsidP="008D0AC9">
      <w:pPr>
        <w:spacing w:after="0" w:line="480" w:lineRule="auto"/>
        <w:jc w:val="center"/>
        <w:rPr>
          <w:rFonts w:ascii="Times New Roman" w:hAnsi="Times New Roman" w:cs="Times New Roman"/>
          <w:sz w:val="24"/>
          <w:szCs w:val="24"/>
        </w:rPr>
      </w:pPr>
    </w:p>
    <w:p w:rsidR="008D0AC9" w:rsidRDefault="008D0AC9" w:rsidP="008D0AC9">
      <w:pPr>
        <w:spacing w:after="0" w:line="480" w:lineRule="auto"/>
        <w:jc w:val="center"/>
        <w:rPr>
          <w:rFonts w:ascii="Times New Roman" w:hAnsi="Times New Roman" w:cs="Times New Roman"/>
          <w:sz w:val="24"/>
          <w:szCs w:val="24"/>
        </w:rPr>
      </w:pPr>
    </w:p>
    <w:p w:rsidR="008D0AC9" w:rsidRDefault="008D0AC9" w:rsidP="008D0AC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Policing and Justice System</w:t>
      </w:r>
    </w:p>
    <w:p w:rsidR="008D0AC9" w:rsidRDefault="008D0AC9" w:rsidP="008D0AC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8D0AC9" w:rsidRDefault="008D0AC9" w:rsidP="008D0AC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8D0AC9" w:rsidRDefault="008D0AC9" w:rsidP="008D0AC9">
      <w:pPr>
        <w:spacing w:after="0" w:line="480" w:lineRule="auto"/>
        <w:rPr>
          <w:rFonts w:ascii="Times New Roman" w:hAnsi="Times New Roman" w:cs="Times New Roman"/>
          <w:sz w:val="24"/>
          <w:szCs w:val="24"/>
        </w:rPr>
      </w:pPr>
    </w:p>
    <w:p w:rsidR="008D0AC9" w:rsidRDefault="008D0AC9" w:rsidP="008D0AC9">
      <w:pPr>
        <w:spacing w:after="0" w:line="480" w:lineRule="auto"/>
        <w:rPr>
          <w:rFonts w:ascii="Times New Roman" w:hAnsi="Times New Roman" w:cs="Times New Roman"/>
          <w:sz w:val="24"/>
          <w:szCs w:val="24"/>
        </w:rPr>
      </w:pPr>
    </w:p>
    <w:p w:rsidR="008D0AC9" w:rsidRDefault="008D0AC9" w:rsidP="008D0AC9">
      <w:pPr>
        <w:spacing w:after="0" w:line="480" w:lineRule="auto"/>
        <w:rPr>
          <w:rFonts w:ascii="Times New Roman" w:hAnsi="Times New Roman" w:cs="Times New Roman"/>
          <w:sz w:val="24"/>
          <w:szCs w:val="24"/>
        </w:rPr>
      </w:pPr>
    </w:p>
    <w:p w:rsidR="008D0AC9" w:rsidRDefault="008D0AC9" w:rsidP="008D0AC9">
      <w:pPr>
        <w:spacing w:after="0" w:line="480" w:lineRule="auto"/>
        <w:rPr>
          <w:rFonts w:ascii="Times New Roman" w:hAnsi="Times New Roman" w:cs="Times New Roman"/>
          <w:sz w:val="24"/>
          <w:szCs w:val="24"/>
        </w:rPr>
      </w:pPr>
    </w:p>
    <w:p w:rsidR="008D0AC9" w:rsidRDefault="008D0AC9" w:rsidP="008D0AC9">
      <w:pPr>
        <w:spacing w:after="0" w:line="480" w:lineRule="auto"/>
        <w:rPr>
          <w:rFonts w:ascii="Times New Roman" w:hAnsi="Times New Roman" w:cs="Times New Roman"/>
          <w:sz w:val="24"/>
          <w:szCs w:val="24"/>
        </w:rPr>
      </w:pPr>
    </w:p>
    <w:p w:rsidR="008D0AC9" w:rsidRDefault="008D0AC9" w:rsidP="008D0AC9">
      <w:pPr>
        <w:spacing w:after="0" w:line="480" w:lineRule="auto"/>
        <w:rPr>
          <w:rFonts w:ascii="Times New Roman" w:hAnsi="Times New Roman" w:cs="Times New Roman"/>
          <w:sz w:val="24"/>
          <w:szCs w:val="24"/>
        </w:rPr>
      </w:pPr>
    </w:p>
    <w:p w:rsidR="008D0AC9" w:rsidRDefault="008D0AC9" w:rsidP="008D0AC9">
      <w:pPr>
        <w:spacing w:after="0" w:line="480" w:lineRule="auto"/>
        <w:rPr>
          <w:rFonts w:ascii="Times New Roman" w:hAnsi="Times New Roman" w:cs="Times New Roman"/>
          <w:sz w:val="24"/>
          <w:szCs w:val="24"/>
        </w:rPr>
      </w:pPr>
    </w:p>
    <w:p w:rsidR="008D0AC9" w:rsidRDefault="008D0AC9" w:rsidP="008D0AC9">
      <w:pPr>
        <w:spacing w:after="0" w:line="480" w:lineRule="auto"/>
        <w:rPr>
          <w:rFonts w:ascii="Times New Roman" w:hAnsi="Times New Roman" w:cs="Times New Roman"/>
          <w:sz w:val="24"/>
          <w:szCs w:val="24"/>
        </w:rPr>
      </w:pPr>
    </w:p>
    <w:p w:rsidR="008D0AC9" w:rsidRDefault="008D0AC9" w:rsidP="008D0AC9">
      <w:pPr>
        <w:spacing w:after="0" w:line="480" w:lineRule="auto"/>
        <w:rPr>
          <w:rFonts w:ascii="Times New Roman" w:hAnsi="Times New Roman" w:cs="Times New Roman"/>
          <w:sz w:val="24"/>
          <w:szCs w:val="24"/>
        </w:rPr>
      </w:pPr>
    </w:p>
    <w:p w:rsidR="008D0AC9" w:rsidRDefault="008D0AC9" w:rsidP="008D0AC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Policing and Justice System</w:t>
      </w:r>
    </w:p>
    <w:p w:rsidR="00CC3E7C" w:rsidRPr="008D0AC9" w:rsidRDefault="008D0AC9" w:rsidP="008D0AC9">
      <w:pPr>
        <w:spacing w:after="0" w:line="480" w:lineRule="auto"/>
        <w:rPr>
          <w:rFonts w:ascii="Times New Roman" w:hAnsi="Times New Roman" w:cs="Times New Roman"/>
          <w:b/>
          <w:sz w:val="24"/>
          <w:szCs w:val="24"/>
        </w:rPr>
      </w:pPr>
      <w:r w:rsidRPr="008D0AC9">
        <w:rPr>
          <w:rFonts w:ascii="Times New Roman" w:hAnsi="Times New Roman" w:cs="Times New Roman"/>
          <w:b/>
          <w:sz w:val="24"/>
          <w:szCs w:val="24"/>
        </w:rPr>
        <w:t xml:space="preserve">Question #1: </w:t>
      </w:r>
      <w:r w:rsidR="00CC3E7C" w:rsidRPr="008D0AC9">
        <w:rPr>
          <w:rFonts w:ascii="Times New Roman" w:hAnsi="Times New Roman" w:cs="Times New Roman"/>
          <w:b/>
          <w:sz w:val="24"/>
          <w:szCs w:val="24"/>
        </w:rPr>
        <w:t>Compare and contrast the Comp Stat-Community policing versus the Intelligence-Led policing.</w:t>
      </w:r>
    </w:p>
    <w:p w:rsidR="00CC3E7C" w:rsidRPr="00CC3E7C" w:rsidRDefault="00CC3E7C" w:rsidP="00CC3E7C">
      <w:pPr>
        <w:spacing w:after="0" w:line="480" w:lineRule="auto"/>
        <w:ind w:firstLine="720"/>
        <w:rPr>
          <w:rFonts w:ascii="Times New Roman" w:hAnsi="Times New Roman" w:cs="Times New Roman"/>
          <w:sz w:val="24"/>
          <w:szCs w:val="24"/>
        </w:rPr>
      </w:pPr>
      <w:r w:rsidRPr="00CC3E7C">
        <w:rPr>
          <w:rFonts w:ascii="Times New Roman" w:hAnsi="Times New Roman" w:cs="Times New Roman"/>
          <w:sz w:val="24"/>
          <w:szCs w:val="24"/>
        </w:rPr>
        <w:t xml:space="preserve">Technological advancement has significantly changed the way policing organizations combat crime. The two main methods associated with technological advancement and </w:t>
      </w:r>
      <w:r w:rsidR="008D0AC9" w:rsidRPr="00CC3E7C">
        <w:rPr>
          <w:rFonts w:ascii="Times New Roman" w:hAnsi="Times New Roman" w:cs="Times New Roman"/>
          <w:sz w:val="24"/>
          <w:szCs w:val="24"/>
        </w:rPr>
        <w:t>innovation in policing includes</w:t>
      </w:r>
      <w:r w:rsidRPr="00CC3E7C">
        <w:rPr>
          <w:rFonts w:ascii="Times New Roman" w:hAnsi="Times New Roman" w:cs="Times New Roman"/>
          <w:sz w:val="24"/>
          <w:szCs w:val="24"/>
        </w:rPr>
        <w:t xml:space="preserve"> Comp Stat-Community and Intelligence-Led policing approaches. These two models of policing are both associated with innovation in law enforcement agencies.  Even though they are both associated with innovation in the police organization, Intelligence-Led policing can be integrated into all aspects of policing while Comp-Stat Community policing is mainly focused on geographic operations.</w:t>
      </w:r>
    </w:p>
    <w:p w:rsidR="00CC3E7C" w:rsidRPr="00CC3E7C" w:rsidRDefault="00CC3E7C" w:rsidP="00CC3E7C">
      <w:pPr>
        <w:spacing w:after="0" w:line="480" w:lineRule="auto"/>
        <w:ind w:firstLine="720"/>
        <w:rPr>
          <w:rFonts w:ascii="Times New Roman" w:hAnsi="Times New Roman" w:cs="Times New Roman"/>
          <w:sz w:val="24"/>
          <w:szCs w:val="24"/>
        </w:rPr>
      </w:pPr>
      <w:r w:rsidRPr="00CC3E7C">
        <w:rPr>
          <w:rFonts w:ascii="Times New Roman" w:hAnsi="Times New Roman" w:cs="Times New Roman"/>
          <w:sz w:val="24"/>
          <w:szCs w:val="24"/>
        </w:rPr>
        <w:t>Intelligence-Led policing is characterized by a dynamic strategic process that integrates crime reduction goals as well as sets of challenging evidence and effectiveness-based standards to facilitate policing in all aspects of crime-fighting (Darroch &amp; Mazerolle, 2012). This enables the Intelligence-Led policing model to be appropriate in creating a more effective and better policy system that is more responsive to crime reduction. On the other hand, Comp-Stat Community policing model is more applicable in geographic mapping. Comp-Stat model depends on statistics and data derived from a record-keeping system in the police department while the Community policing relies on the information collected from the general public. When combined, Comp-Stat Community policing model enables law enforcement to focus their enforcement activities within a specific area with prone-crime-related activities (Willis et al., 2010).</w:t>
      </w:r>
    </w:p>
    <w:p w:rsidR="00CC3E7C" w:rsidRPr="00CC3E7C" w:rsidRDefault="00CC3E7C" w:rsidP="00CC3E7C">
      <w:pPr>
        <w:spacing w:after="0" w:line="480" w:lineRule="auto"/>
        <w:ind w:firstLine="720"/>
        <w:rPr>
          <w:rFonts w:ascii="Times New Roman" w:hAnsi="Times New Roman" w:cs="Times New Roman"/>
          <w:sz w:val="24"/>
          <w:szCs w:val="24"/>
        </w:rPr>
      </w:pPr>
      <w:r w:rsidRPr="00CC3E7C">
        <w:rPr>
          <w:rFonts w:ascii="Times New Roman" w:hAnsi="Times New Roman" w:cs="Times New Roman"/>
          <w:sz w:val="24"/>
          <w:szCs w:val="24"/>
        </w:rPr>
        <w:t xml:space="preserve">From the two models, Intelligence-Led policing would be more effective because it does not perceive the organizational boundaries that Comp-Stat Community policing model. If </w:t>
      </w:r>
      <w:r w:rsidRPr="00CC3E7C">
        <w:rPr>
          <w:rFonts w:ascii="Times New Roman" w:hAnsi="Times New Roman" w:cs="Times New Roman"/>
          <w:sz w:val="24"/>
          <w:szCs w:val="24"/>
        </w:rPr>
        <w:lastRenderedPageBreak/>
        <w:t>adopted in New York City, Intelligence-Led policing model would be easily integrated into the law enforcement that will improve the outcome in crime reduction from all crimes perspective. Intelligence-Led policing can help the police address domestic and national crime-related activities.</w:t>
      </w:r>
    </w:p>
    <w:p w:rsidR="00CC3E7C" w:rsidRPr="008D0AC9" w:rsidRDefault="008D0AC9" w:rsidP="008D0AC9">
      <w:pPr>
        <w:spacing w:after="0" w:line="480" w:lineRule="auto"/>
        <w:rPr>
          <w:rFonts w:ascii="Times New Roman" w:hAnsi="Times New Roman" w:cs="Times New Roman"/>
          <w:b/>
          <w:sz w:val="24"/>
          <w:szCs w:val="24"/>
        </w:rPr>
      </w:pPr>
      <w:r w:rsidRPr="008D0AC9">
        <w:rPr>
          <w:rFonts w:ascii="Times New Roman" w:hAnsi="Times New Roman" w:cs="Times New Roman"/>
          <w:b/>
          <w:sz w:val="24"/>
          <w:szCs w:val="24"/>
        </w:rPr>
        <w:t xml:space="preserve">Question #2: </w:t>
      </w:r>
      <w:r w:rsidR="00CC3E7C" w:rsidRPr="008D0AC9">
        <w:rPr>
          <w:rFonts w:ascii="Times New Roman" w:hAnsi="Times New Roman" w:cs="Times New Roman"/>
          <w:b/>
          <w:sz w:val="24"/>
          <w:szCs w:val="24"/>
        </w:rPr>
        <w:t>Significance of Court Cases</w:t>
      </w:r>
    </w:p>
    <w:p w:rsidR="00CC3E7C" w:rsidRPr="00CC3E7C" w:rsidRDefault="00CC3E7C" w:rsidP="00CC3E7C">
      <w:pPr>
        <w:spacing w:after="0" w:line="480" w:lineRule="auto"/>
        <w:ind w:firstLine="720"/>
        <w:rPr>
          <w:rFonts w:ascii="Times New Roman" w:hAnsi="Times New Roman" w:cs="Times New Roman"/>
          <w:sz w:val="24"/>
          <w:szCs w:val="24"/>
        </w:rPr>
      </w:pPr>
      <w:r w:rsidRPr="00CC3E7C">
        <w:rPr>
          <w:rFonts w:ascii="Times New Roman" w:hAnsi="Times New Roman" w:cs="Times New Roman"/>
          <w:sz w:val="24"/>
          <w:szCs w:val="24"/>
        </w:rPr>
        <w:t>In Mapp v. Ohio case, the Supreme Court ruled that evidence obtained by violating the Fourth Amendment provisions cannot be admissible in the court. This case arose when police in Cleveland forcibly entered and searched for alleged bombing materials in the home of the Plaintiff, Dollree Mapp, without a warrant. The ruling of the Supreme Court, in this case, prohibited the unconstitutional searches and seizures by the police, which furthered protection of the Bill of Rights in Fourth and Fourteenth Amendments.</w:t>
      </w:r>
    </w:p>
    <w:p w:rsidR="00CC3E7C" w:rsidRPr="00CC3E7C" w:rsidRDefault="00CC3E7C" w:rsidP="00CC3E7C">
      <w:pPr>
        <w:spacing w:after="0" w:line="480" w:lineRule="auto"/>
        <w:ind w:firstLine="720"/>
        <w:rPr>
          <w:rFonts w:ascii="Times New Roman" w:hAnsi="Times New Roman" w:cs="Times New Roman"/>
          <w:sz w:val="24"/>
          <w:szCs w:val="24"/>
        </w:rPr>
      </w:pPr>
      <w:r w:rsidRPr="00CC3E7C">
        <w:rPr>
          <w:rFonts w:ascii="Times New Roman" w:hAnsi="Times New Roman" w:cs="Times New Roman"/>
          <w:sz w:val="24"/>
          <w:szCs w:val="24"/>
        </w:rPr>
        <w:t>In regards to Gideon v. Wainwright (1963), the Florida Supreme Court ruled that states are required to provide legal counsel to suspects charged with a felony. The case arose when Clarence Earl Gideon’s request for an attorney was denied despised being charged with a felony for allegedly burglarizing a pool hall in Panama City, Florida. The Court’s decision is significant because it ensured that the U.S. constitutional rights are protected. The court’s unanimous decision to acquit Gideon during a retrial was significant because it enhanced confidence in the justice system, especially the courts in protecting the Fourteenth Amendment provisions, which guarantees the accused the due process to pursue justice.</w:t>
      </w:r>
    </w:p>
    <w:p w:rsidR="00CC3E7C" w:rsidRPr="00CC3E7C" w:rsidRDefault="00CC3E7C" w:rsidP="00CC3E7C">
      <w:pPr>
        <w:spacing w:after="0" w:line="480" w:lineRule="auto"/>
        <w:ind w:firstLine="720"/>
        <w:rPr>
          <w:rFonts w:ascii="Times New Roman" w:hAnsi="Times New Roman" w:cs="Times New Roman"/>
          <w:sz w:val="24"/>
          <w:szCs w:val="24"/>
        </w:rPr>
      </w:pPr>
      <w:r w:rsidRPr="00CC3E7C">
        <w:rPr>
          <w:rFonts w:ascii="Times New Roman" w:hAnsi="Times New Roman" w:cs="Times New Roman"/>
          <w:sz w:val="24"/>
          <w:szCs w:val="24"/>
        </w:rPr>
        <w:t xml:space="preserve">Similarly, in Escobedo v. Illinois (1964) case, the Supreme Court furthered the protection of the Constitutional provisions regarding the protection of the Sixth Amendment. This case came a year after Gideon v. Wainwright’s case. The case arose when Danny Escobedo’s brother-in-law, Manuel Valtierra, was shot and killed, and Escobedo arrested and interrogated without a </w:t>
      </w:r>
      <w:r w:rsidRPr="00CC3E7C">
        <w:rPr>
          <w:rFonts w:ascii="Times New Roman" w:hAnsi="Times New Roman" w:cs="Times New Roman"/>
          <w:sz w:val="24"/>
          <w:szCs w:val="24"/>
        </w:rPr>
        <w:lastRenderedPageBreak/>
        <w:t>warrant. He was interrogated for more than 14 hours and denied his rights to speak to his attorney. During the interrogation, he interdicted himself that led to his prosecution. After he appealed in Illinois Supreme Court, the court reversed the conviction citing that the confession was inadmissible.</w:t>
      </w:r>
    </w:p>
    <w:p w:rsidR="00CC3E7C" w:rsidRPr="00CC3E7C" w:rsidRDefault="00CC3E7C" w:rsidP="00CC3E7C">
      <w:pPr>
        <w:spacing w:after="0" w:line="480" w:lineRule="auto"/>
        <w:ind w:firstLine="720"/>
        <w:rPr>
          <w:rFonts w:ascii="Times New Roman" w:hAnsi="Times New Roman" w:cs="Times New Roman"/>
          <w:sz w:val="24"/>
          <w:szCs w:val="24"/>
        </w:rPr>
      </w:pPr>
      <w:r w:rsidRPr="00CC3E7C">
        <w:rPr>
          <w:rFonts w:ascii="Times New Roman" w:hAnsi="Times New Roman" w:cs="Times New Roman"/>
          <w:sz w:val="24"/>
          <w:szCs w:val="24"/>
        </w:rPr>
        <w:t>Lastly, in Miranda v. Arizona case, the court further made a significant ruling on the defendants’ protection. The case arose when the Plaintiff, Patricia McGee, was kidnapped and raped on her way home after work in Phoenix, Arizona. She accused Ernesto Miranda after picking him out of a line-up. The police arrested Miranda and interrogated him for three hours before he signed a written confession to the crimes. The court’s decision was significant because it emphasized on the need for police to find admissible statements and to involve the defendants’ attorneys during questioning to ensure that they (defendants) understood their rights as well as prevent interdicting themselves in the process (Kelly, 2019).</w:t>
      </w:r>
    </w:p>
    <w:p w:rsidR="00CC3E7C" w:rsidRPr="00CC3E7C" w:rsidRDefault="00CC3E7C" w:rsidP="00CC3E7C">
      <w:pPr>
        <w:spacing w:after="0" w:line="480" w:lineRule="auto"/>
        <w:ind w:firstLine="720"/>
        <w:rPr>
          <w:rFonts w:ascii="Times New Roman" w:hAnsi="Times New Roman" w:cs="Times New Roman"/>
          <w:sz w:val="24"/>
          <w:szCs w:val="24"/>
        </w:rPr>
      </w:pPr>
      <w:r w:rsidRPr="00CC3E7C">
        <w:rPr>
          <w:rFonts w:ascii="Times New Roman" w:hAnsi="Times New Roman" w:cs="Times New Roman"/>
          <w:sz w:val="24"/>
          <w:szCs w:val="24"/>
        </w:rPr>
        <w:t>Politics play an important role in policing, especially in the appointment of the administrators. Most of the police chiefs and administrators are appointed by the political leaders, which makes it easy for them to be influenced by the politicians who would want them to advance their interests; for instance, insulating them from the due process. The intervention of politicians and political processes in the day-to-day operations in policing inhibits effective policing.</w:t>
      </w:r>
    </w:p>
    <w:p w:rsidR="008D0AC9" w:rsidRDefault="008D0AC9" w:rsidP="008D0AC9">
      <w:pPr>
        <w:spacing w:after="0" w:line="480" w:lineRule="auto"/>
        <w:rPr>
          <w:rFonts w:ascii="Times New Roman" w:hAnsi="Times New Roman" w:cs="Times New Roman"/>
          <w:sz w:val="24"/>
          <w:szCs w:val="24"/>
        </w:rPr>
      </w:pPr>
    </w:p>
    <w:p w:rsidR="008D0AC9" w:rsidRDefault="008D0AC9" w:rsidP="008D0AC9">
      <w:pPr>
        <w:spacing w:after="0" w:line="480" w:lineRule="auto"/>
        <w:rPr>
          <w:rFonts w:ascii="Times New Roman" w:hAnsi="Times New Roman" w:cs="Times New Roman"/>
          <w:sz w:val="24"/>
          <w:szCs w:val="24"/>
        </w:rPr>
      </w:pPr>
    </w:p>
    <w:p w:rsidR="008D0AC9" w:rsidRDefault="008D0AC9" w:rsidP="008D0AC9">
      <w:pPr>
        <w:spacing w:after="0" w:line="480" w:lineRule="auto"/>
        <w:rPr>
          <w:rFonts w:ascii="Times New Roman" w:hAnsi="Times New Roman" w:cs="Times New Roman"/>
          <w:sz w:val="24"/>
          <w:szCs w:val="24"/>
        </w:rPr>
      </w:pPr>
    </w:p>
    <w:p w:rsidR="008D0AC9" w:rsidRDefault="008D0AC9" w:rsidP="008D0AC9">
      <w:pPr>
        <w:spacing w:after="0" w:line="480" w:lineRule="auto"/>
        <w:rPr>
          <w:rFonts w:ascii="Times New Roman" w:hAnsi="Times New Roman" w:cs="Times New Roman"/>
          <w:sz w:val="24"/>
          <w:szCs w:val="24"/>
        </w:rPr>
      </w:pPr>
    </w:p>
    <w:p w:rsidR="008D0AC9" w:rsidRDefault="008D0AC9" w:rsidP="008D0AC9">
      <w:pPr>
        <w:spacing w:after="0" w:line="480" w:lineRule="auto"/>
        <w:rPr>
          <w:rFonts w:ascii="Times New Roman" w:hAnsi="Times New Roman" w:cs="Times New Roman"/>
          <w:sz w:val="24"/>
          <w:szCs w:val="24"/>
        </w:rPr>
      </w:pPr>
    </w:p>
    <w:p w:rsidR="00CC3E7C" w:rsidRPr="00CC3E7C" w:rsidRDefault="00CC3E7C" w:rsidP="008D0AC9">
      <w:pPr>
        <w:spacing w:after="0" w:line="480" w:lineRule="auto"/>
        <w:jc w:val="center"/>
        <w:rPr>
          <w:rFonts w:ascii="Times New Roman" w:hAnsi="Times New Roman" w:cs="Times New Roman"/>
          <w:sz w:val="24"/>
          <w:szCs w:val="24"/>
        </w:rPr>
      </w:pPr>
      <w:r w:rsidRPr="00CC3E7C">
        <w:rPr>
          <w:rFonts w:ascii="Times New Roman" w:hAnsi="Times New Roman" w:cs="Times New Roman"/>
          <w:sz w:val="24"/>
          <w:szCs w:val="24"/>
        </w:rPr>
        <w:lastRenderedPageBreak/>
        <w:t>Reference</w:t>
      </w:r>
    </w:p>
    <w:p w:rsidR="00CC3E7C" w:rsidRPr="00CC3E7C" w:rsidRDefault="00CC3E7C" w:rsidP="008D0AC9">
      <w:pPr>
        <w:spacing w:after="0" w:line="480" w:lineRule="auto"/>
        <w:ind w:left="720" w:hanging="720"/>
        <w:rPr>
          <w:rFonts w:ascii="Times New Roman" w:hAnsi="Times New Roman" w:cs="Times New Roman"/>
          <w:sz w:val="24"/>
          <w:szCs w:val="24"/>
        </w:rPr>
      </w:pPr>
      <w:r w:rsidRPr="00CC3E7C">
        <w:rPr>
          <w:rFonts w:ascii="Times New Roman" w:hAnsi="Times New Roman" w:cs="Times New Roman"/>
          <w:color w:val="222222"/>
          <w:sz w:val="24"/>
          <w:szCs w:val="24"/>
          <w:shd w:val="clear" w:color="auto" w:fill="FFFFFF"/>
        </w:rPr>
        <w:t>Darroch, S., &amp; Mazerolle, L. (2013). Intelligence-led policing: A comparative analysis of organizational factors influencing innovation uptake. </w:t>
      </w:r>
      <w:r w:rsidRPr="00CC3E7C">
        <w:rPr>
          <w:rFonts w:ascii="Times New Roman" w:hAnsi="Times New Roman" w:cs="Times New Roman"/>
          <w:i/>
          <w:iCs/>
          <w:color w:val="222222"/>
          <w:sz w:val="24"/>
          <w:szCs w:val="24"/>
          <w:shd w:val="clear" w:color="auto" w:fill="FFFFFF"/>
        </w:rPr>
        <w:t>Police quarterly</w:t>
      </w:r>
      <w:r w:rsidRPr="00CC3E7C">
        <w:rPr>
          <w:rFonts w:ascii="Times New Roman" w:hAnsi="Times New Roman" w:cs="Times New Roman"/>
          <w:color w:val="222222"/>
          <w:sz w:val="24"/>
          <w:szCs w:val="24"/>
          <w:shd w:val="clear" w:color="auto" w:fill="FFFFFF"/>
        </w:rPr>
        <w:t>, </w:t>
      </w:r>
      <w:r w:rsidRPr="00CC3E7C">
        <w:rPr>
          <w:rFonts w:ascii="Times New Roman" w:hAnsi="Times New Roman" w:cs="Times New Roman"/>
          <w:i/>
          <w:iCs/>
          <w:color w:val="222222"/>
          <w:sz w:val="24"/>
          <w:szCs w:val="24"/>
          <w:shd w:val="clear" w:color="auto" w:fill="FFFFFF"/>
        </w:rPr>
        <w:t>16</w:t>
      </w:r>
      <w:r w:rsidRPr="00CC3E7C">
        <w:rPr>
          <w:rFonts w:ascii="Times New Roman" w:hAnsi="Times New Roman" w:cs="Times New Roman"/>
          <w:color w:val="222222"/>
          <w:sz w:val="24"/>
          <w:szCs w:val="24"/>
          <w:shd w:val="clear" w:color="auto" w:fill="FFFFFF"/>
        </w:rPr>
        <w:t>(1), 3-37.</w:t>
      </w:r>
    </w:p>
    <w:p w:rsidR="00CC3E7C" w:rsidRPr="00CC3E7C" w:rsidRDefault="00CC3E7C" w:rsidP="008D0AC9">
      <w:pPr>
        <w:spacing w:after="0" w:line="480" w:lineRule="auto"/>
        <w:ind w:left="720" w:hanging="720"/>
        <w:rPr>
          <w:rFonts w:ascii="Times New Roman" w:hAnsi="Times New Roman" w:cs="Times New Roman"/>
          <w:sz w:val="24"/>
          <w:szCs w:val="24"/>
        </w:rPr>
      </w:pPr>
      <w:r w:rsidRPr="00CC3E7C">
        <w:rPr>
          <w:rFonts w:ascii="Times New Roman" w:hAnsi="Times New Roman" w:cs="Times New Roman"/>
          <w:sz w:val="24"/>
          <w:szCs w:val="24"/>
        </w:rPr>
        <w:t xml:space="preserve">Kelly, M. (May 5, 2019). Mirand v. Arizona. </w:t>
      </w:r>
      <w:r w:rsidRPr="00CC3E7C">
        <w:rPr>
          <w:rFonts w:ascii="Times New Roman" w:hAnsi="Times New Roman" w:cs="Times New Roman"/>
          <w:i/>
          <w:sz w:val="24"/>
          <w:szCs w:val="24"/>
        </w:rPr>
        <w:t>ThoughtCo</w:t>
      </w:r>
      <w:r w:rsidRPr="00CC3E7C">
        <w:rPr>
          <w:rFonts w:ascii="Times New Roman" w:hAnsi="Times New Roman" w:cs="Times New Roman"/>
          <w:sz w:val="24"/>
          <w:szCs w:val="24"/>
        </w:rPr>
        <w:t>. Retrieved from https://www.thoughtco.com/miranda-v-arizona-104966#targetText=Miranda%20v.%20Arizona%20was%20a,will%20be%20held%20against%20them</w:t>
      </w:r>
    </w:p>
    <w:p w:rsidR="00CC3E7C" w:rsidRPr="00CC3E7C" w:rsidRDefault="00CC3E7C" w:rsidP="008D0AC9">
      <w:pPr>
        <w:spacing w:after="0" w:line="480" w:lineRule="auto"/>
        <w:ind w:left="720" w:hanging="720"/>
        <w:rPr>
          <w:rFonts w:ascii="Times New Roman" w:hAnsi="Times New Roman" w:cs="Times New Roman"/>
          <w:sz w:val="24"/>
          <w:szCs w:val="24"/>
        </w:rPr>
      </w:pPr>
      <w:r w:rsidRPr="00CC3E7C">
        <w:rPr>
          <w:rFonts w:ascii="Times New Roman" w:hAnsi="Times New Roman" w:cs="Times New Roman"/>
          <w:color w:val="222222"/>
          <w:sz w:val="24"/>
          <w:szCs w:val="24"/>
          <w:shd w:val="clear" w:color="auto" w:fill="FFFFFF"/>
        </w:rPr>
        <w:t>Willis, J. J., Mastrofski, S. D., &amp; Kochel, T. R. (2010). The co-implementation of Compstat and community policing. </w:t>
      </w:r>
      <w:r w:rsidRPr="00CC3E7C">
        <w:rPr>
          <w:rFonts w:ascii="Times New Roman" w:hAnsi="Times New Roman" w:cs="Times New Roman"/>
          <w:i/>
          <w:iCs/>
          <w:color w:val="222222"/>
          <w:sz w:val="24"/>
          <w:szCs w:val="24"/>
          <w:shd w:val="clear" w:color="auto" w:fill="FFFFFF"/>
        </w:rPr>
        <w:t>Journal of Criminal Justice</w:t>
      </w:r>
      <w:r w:rsidRPr="00CC3E7C">
        <w:rPr>
          <w:rFonts w:ascii="Times New Roman" w:hAnsi="Times New Roman" w:cs="Times New Roman"/>
          <w:color w:val="222222"/>
          <w:sz w:val="24"/>
          <w:szCs w:val="24"/>
          <w:shd w:val="clear" w:color="auto" w:fill="FFFFFF"/>
        </w:rPr>
        <w:t>, </w:t>
      </w:r>
      <w:r w:rsidRPr="00CC3E7C">
        <w:rPr>
          <w:rFonts w:ascii="Times New Roman" w:hAnsi="Times New Roman" w:cs="Times New Roman"/>
          <w:i/>
          <w:iCs/>
          <w:color w:val="222222"/>
          <w:sz w:val="24"/>
          <w:szCs w:val="24"/>
          <w:shd w:val="clear" w:color="auto" w:fill="FFFFFF"/>
        </w:rPr>
        <w:t>38</w:t>
      </w:r>
      <w:r w:rsidRPr="00CC3E7C">
        <w:rPr>
          <w:rFonts w:ascii="Times New Roman" w:hAnsi="Times New Roman" w:cs="Times New Roman"/>
          <w:color w:val="222222"/>
          <w:sz w:val="24"/>
          <w:szCs w:val="24"/>
          <w:shd w:val="clear" w:color="auto" w:fill="FFFFFF"/>
        </w:rPr>
        <w:t>(5), 969-980.</w:t>
      </w:r>
    </w:p>
    <w:sectPr w:rsidR="00CC3E7C" w:rsidRPr="00CC3E7C" w:rsidSect="00CC3E7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E0BD1" w:rsidRDefault="007E0BD1" w:rsidP="00CC3E7C">
      <w:pPr>
        <w:spacing w:after="0" w:line="240" w:lineRule="auto"/>
      </w:pPr>
      <w:r>
        <w:separator/>
      </w:r>
    </w:p>
  </w:endnote>
  <w:endnote w:type="continuationSeparator" w:id="0">
    <w:p w:rsidR="007E0BD1" w:rsidRDefault="007E0BD1" w:rsidP="00CC3E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E0BD1" w:rsidRDefault="007E0BD1" w:rsidP="00CC3E7C">
      <w:pPr>
        <w:spacing w:after="0" w:line="240" w:lineRule="auto"/>
      </w:pPr>
      <w:r>
        <w:separator/>
      </w:r>
    </w:p>
  </w:footnote>
  <w:footnote w:type="continuationSeparator" w:id="0">
    <w:p w:rsidR="007E0BD1" w:rsidRDefault="007E0BD1" w:rsidP="00CC3E7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3E7C" w:rsidRDefault="008D0AC9">
    <w:pPr>
      <w:pStyle w:val="Header"/>
    </w:pPr>
    <w:r w:rsidRPr="008D0AC9">
      <w:rPr>
        <w:rFonts w:ascii="Times New Roman" w:hAnsi="Times New Roman" w:cs="Times New Roman"/>
        <w:sz w:val="24"/>
        <w:szCs w:val="24"/>
      </w:rPr>
      <w:t xml:space="preserve">POLICING </w:t>
    </w:r>
    <w:r w:rsidRPr="008D0AC9">
      <w:rPr>
        <w:rFonts w:ascii="Times New Roman" w:hAnsi="Times New Roman" w:cs="Times New Roman"/>
        <w:sz w:val="24"/>
        <w:szCs w:val="24"/>
      </w:rPr>
      <w:tab/>
    </w:r>
    <w:r w:rsidRPr="008D0AC9">
      <w:rPr>
        <w:rFonts w:ascii="Times New Roman" w:hAnsi="Times New Roman" w:cs="Times New Roman"/>
        <w:sz w:val="24"/>
        <w:szCs w:val="24"/>
      </w:rPr>
      <w:tab/>
    </w:r>
    <w:r w:rsidRPr="008D0AC9">
      <w:rPr>
        <w:rFonts w:ascii="Times New Roman" w:hAnsi="Times New Roman" w:cs="Times New Roman"/>
        <w:sz w:val="24"/>
        <w:szCs w:val="24"/>
      </w:rPr>
      <w:fldChar w:fldCharType="begin"/>
    </w:r>
    <w:r w:rsidRPr="008D0AC9">
      <w:rPr>
        <w:rFonts w:ascii="Times New Roman" w:hAnsi="Times New Roman" w:cs="Times New Roman"/>
        <w:sz w:val="24"/>
        <w:szCs w:val="24"/>
      </w:rPr>
      <w:instrText xml:space="preserve"> PAGE   \* MERGEFORMAT </w:instrText>
    </w:r>
    <w:r w:rsidRPr="008D0AC9">
      <w:rPr>
        <w:rFonts w:ascii="Times New Roman" w:hAnsi="Times New Roman" w:cs="Times New Roman"/>
        <w:sz w:val="24"/>
        <w:szCs w:val="24"/>
      </w:rPr>
      <w:fldChar w:fldCharType="separate"/>
    </w:r>
    <w:r w:rsidR="009C7F5A">
      <w:rPr>
        <w:rFonts w:ascii="Times New Roman" w:hAnsi="Times New Roman" w:cs="Times New Roman"/>
        <w:noProof/>
        <w:sz w:val="24"/>
        <w:szCs w:val="24"/>
      </w:rPr>
      <w:t>2</w:t>
    </w:r>
    <w:r w:rsidRPr="008D0AC9">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3E7C" w:rsidRPr="008D0AC9" w:rsidRDefault="00CC3E7C">
    <w:pPr>
      <w:pStyle w:val="Header"/>
      <w:rPr>
        <w:rFonts w:ascii="Times New Roman" w:hAnsi="Times New Roman" w:cs="Times New Roman"/>
        <w:sz w:val="24"/>
        <w:szCs w:val="24"/>
      </w:rPr>
    </w:pPr>
    <w:r w:rsidRPr="008D0AC9">
      <w:rPr>
        <w:rFonts w:ascii="Times New Roman" w:hAnsi="Times New Roman" w:cs="Times New Roman"/>
        <w:sz w:val="24"/>
        <w:szCs w:val="24"/>
      </w:rPr>
      <w:t xml:space="preserve">Running head: </w:t>
    </w:r>
    <w:r w:rsidR="008D0AC9" w:rsidRPr="008D0AC9">
      <w:rPr>
        <w:rFonts w:ascii="Times New Roman" w:hAnsi="Times New Roman" w:cs="Times New Roman"/>
        <w:sz w:val="24"/>
        <w:szCs w:val="24"/>
      </w:rPr>
      <w:t xml:space="preserve">POLICING </w:t>
    </w:r>
    <w:r w:rsidR="008D0AC9" w:rsidRPr="008D0AC9">
      <w:rPr>
        <w:rFonts w:ascii="Times New Roman" w:hAnsi="Times New Roman" w:cs="Times New Roman"/>
        <w:sz w:val="24"/>
        <w:szCs w:val="24"/>
      </w:rPr>
      <w:tab/>
    </w:r>
    <w:r w:rsidR="008D0AC9" w:rsidRPr="008D0AC9">
      <w:rPr>
        <w:rFonts w:ascii="Times New Roman" w:hAnsi="Times New Roman" w:cs="Times New Roman"/>
        <w:sz w:val="24"/>
        <w:szCs w:val="24"/>
      </w:rPr>
      <w:tab/>
    </w:r>
    <w:r w:rsidR="008D0AC9" w:rsidRPr="008D0AC9">
      <w:rPr>
        <w:rFonts w:ascii="Times New Roman" w:hAnsi="Times New Roman" w:cs="Times New Roman"/>
        <w:sz w:val="24"/>
        <w:szCs w:val="24"/>
      </w:rPr>
      <w:fldChar w:fldCharType="begin"/>
    </w:r>
    <w:r w:rsidR="008D0AC9" w:rsidRPr="008D0AC9">
      <w:rPr>
        <w:rFonts w:ascii="Times New Roman" w:hAnsi="Times New Roman" w:cs="Times New Roman"/>
        <w:sz w:val="24"/>
        <w:szCs w:val="24"/>
      </w:rPr>
      <w:instrText xml:space="preserve"> PAGE   \* MERGEFORMAT </w:instrText>
    </w:r>
    <w:r w:rsidR="008D0AC9" w:rsidRPr="008D0AC9">
      <w:rPr>
        <w:rFonts w:ascii="Times New Roman" w:hAnsi="Times New Roman" w:cs="Times New Roman"/>
        <w:sz w:val="24"/>
        <w:szCs w:val="24"/>
      </w:rPr>
      <w:fldChar w:fldCharType="separate"/>
    </w:r>
    <w:r w:rsidR="009C7F5A">
      <w:rPr>
        <w:rFonts w:ascii="Times New Roman" w:hAnsi="Times New Roman" w:cs="Times New Roman"/>
        <w:noProof/>
        <w:sz w:val="24"/>
        <w:szCs w:val="24"/>
      </w:rPr>
      <w:t>1</w:t>
    </w:r>
    <w:r w:rsidR="008D0AC9" w:rsidRPr="008D0AC9">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280E"/>
    <w:rsid w:val="00134B03"/>
    <w:rsid w:val="004B0377"/>
    <w:rsid w:val="0078513C"/>
    <w:rsid w:val="007E0BD1"/>
    <w:rsid w:val="008D0AC9"/>
    <w:rsid w:val="00952498"/>
    <w:rsid w:val="009C7F5A"/>
    <w:rsid w:val="00A25D63"/>
    <w:rsid w:val="00B27DEF"/>
    <w:rsid w:val="00CC3E7C"/>
    <w:rsid w:val="00D14BE6"/>
    <w:rsid w:val="00DD280E"/>
    <w:rsid w:val="00E842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8D3D447-2A0E-4C95-A258-3EB6F31E8D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CC3E7C"/>
    <w:rPr>
      <w:color w:val="0000FF"/>
      <w:u w:val="single"/>
    </w:rPr>
  </w:style>
  <w:style w:type="paragraph" w:styleId="Header">
    <w:name w:val="header"/>
    <w:basedOn w:val="Normal"/>
    <w:link w:val="HeaderChar"/>
    <w:uiPriority w:val="99"/>
    <w:unhideWhenUsed/>
    <w:rsid w:val="00CC3E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3E7C"/>
  </w:style>
  <w:style w:type="paragraph" w:styleId="Footer">
    <w:name w:val="footer"/>
    <w:basedOn w:val="Normal"/>
    <w:link w:val="FooterChar"/>
    <w:uiPriority w:val="99"/>
    <w:unhideWhenUsed/>
    <w:rsid w:val="00CC3E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3E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878</Words>
  <Characters>5007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vinny</cp:lastModifiedBy>
  <cp:revision>2</cp:revision>
  <dcterms:created xsi:type="dcterms:W3CDTF">2019-10-12T06:57:00Z</dcterms:created>
  <dcterms:modified xsi:type="dcterms:W3CDTF">2019-10-12T06:57:00Z</dcterms:modified>
</cp:coreProperties>
</file>